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03D6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03D64" w:rsidRDefault="004E1D27">
            <w:pPr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bCs/>
                <w:sz w:val="22"/>
                <w:szCs w:val="22"/>
              </w:rPr>
              <w:t>Moduł wybieralny:</w:t>
            </w:r>
            <w:r>
              <w:rPr>
                <w:b/>
                <w:sz w:val="22"/>
                <w:szCs w:val="22"/>
              </w:rPr>
              <w:t xml:space="preserve"> ADMINISTRACJA SKARBOWA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703D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03D64" w:rsidRDefault="00703D64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703D64" w:rsidRDefault="004E1D2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703D64" w:rsidRDefault="004E1D2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PODATKI I OPŁATY SAMORZĄDOWE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34</w:t>
            </w:r>
          </w:p>
        </w:tc>
      </w:tr>
      <w:tr w:rsidR="00703D64">
        <w:trPr>
          <w:cantSplit/>
        </w:trPr>
        <w:tc>
          <w:tcPr>
            <w:tcW w:w="497" w:type="dxa"/>
            <w:vMerge/>
          </w:tcPr>
          <w:p w:rsidR="00703D64" w:rsidRDefault="00703D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703D64">
        <w:trPr>
          <w:cantSplit/>
        </w:trPr>
        <w:tc>
          <w:tcPr>
            <w:tcW w:w="497" w:type="dxa"/>
            <w:vMerge/>
          </w:tcPr>
          <w:p w:rsidR="00703D64" w:rsidRDefault="00703D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703D64" w:rsidRDefault="004E1D2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703D64">
        <w:trPr>
          <w:cantSplit/>
        </w:trPr>
        <w:tc>
          <w:tcPr>
            <w:tcW w:w="497" w:type="dxa"/>
            <w:vMerge/>
          </w:tcPr>
          <w:p w:rsidR="00703D64" w:rsidRDefault="00703D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703D64" w:rsidRDefault="004E1D2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703D64" w:rsidRDefault="004E1D2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703D64">
        <w:trPr>
          <w:cantSplit/>
        </w:trPr>
        <w:tc>
          <w:tcPr>
            <w:tcW w:w="497" w:type="dxa"/>
            <w:vMerge/>
          </w:tcPr>
          <w:p w:rsidR="00703D64" w:rsidRDefault="00703D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703D64" w:rsidRDefault="004E1D2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703D64" w:rsidRDefault="004E1D2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703D64">
        <w:trPr>
          <w:cantSplit/>
        </w:trPr>
        <w:tc>
          <w:tcPr>
            <w:tcW w:w="497" w:type="dxa"/>
            <w:vMerge/>
          </w:tcPr>
          <w:p w:rsidR="00703D64" w:rsidRDefault="00703D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703D64">
        <w:trPr>
          <w:cantSplit/>
        </w:trPr>
        <w:tc>
          <w:tcPr>
            <w:tcW w:w="497" w:type="dxa"/>
            <w:vMerge/>
          </w:tcPr>
          <w:p w:rsidR="00703D64" w:rsidRDefault="00703D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3D64" w:rsidRDefault="00703D6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703D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03D64" w:rsidRDefault="004E1D27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703D64">
        <w:tc>
          <w:tcPr>
            <w:tcW w:w="2988" w:type="dxa"/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03D64" w:rsidRDefault="004E1D27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703D64">
        <w:tc>
          <w:tcPr>
            <w:tcW w:w="2988" w:type="dxa"/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03D64" w:rsidRDefault="004E1D27" w:rsidP="0057134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cechami i konstrukcją podatków i opłat samorządów, ich podstawach prawnych, metodami ich kalkulacji i ich rozliczeń.</w:t>
            </w:r>
          </w:p>
        </w:tc>
      </w:tr>
      <w:tr w:rsidR="00703D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3D64" w:rsidRDefault="004E1D2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 budżetowa</w:t>
            </w:r>
          </w:p>
        </w:tc>
      </w:tr>
    </w:tbl>
    <w:p w:rsidR="00703D64" w:rsidRDefault="00703D6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703D64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03D64" w:rsidRDefault="004E1D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703D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03D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Default="00703D64">
            <w:pPr>
              <w:rPr>
                <w:sz w:val="22"/>
                <w:szCs w:val="22"/>
              </w:rPr>
            </w:pPr>
          </w:p>
        </w:tc>
      </w:tr>
      <w:tr w:rsidR="00703D6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64" w:rsidRDefault="004E1D27" w:rsidP="00B249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akty normatywne z zakresu prawa podatkowego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703D6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D64" w:rsidRDefault="004E1D27" w:rsidP="00B249E4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Przywołuje procedury właściwe działaniu administracji publicznej w zakresie naliczania podatków i opłat oraz ich ściągania.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Default="004E1D2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703D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Default="004E1D27" w:rsidP="00B249E4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Default="00703D64">
            <w:pPr>
              <w:rPr>
                <w:sz w:val="22"/>
                <w:szCs w:val="22"/>
              </w:rPr>
            </w:pPr>
          </w:p>
        </w:tc>
      </w:tr>
      <w:tr w:rsidR="00703D6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D64" w:rsidRDefault="004E1D27" w:rsidP="00B249E4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Przeprowadza wykładnię przepisów podatkowych i opłat lokalnych.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K1P_U12</w:t>
            </w:r>
          </w:p>
        </w:tc>
      </w:tr>
      <w:tr w:rsidR="00703D6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D64" w:rsidRDefault="004E1D27" w:rsidP="00B249E4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Wyjaśnia wpływ aspektu podatkowego na działalność podmiotów gospodarczych oraz przeprowadza kalkulacje wysokości opłat i podatków.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703D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Default="004E1D27" w:rsidP="00B249E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Default="00703D64">
            <w:pPr>
              <w:rPr>
                <w:sz w:val="22"/>
                <w:szCs w:val="22"/>
              </w:rPr>
            </w:pPr>
          </w:p>
        </w:tc>
      </w:tr>
      <w:tr w:rsidR="00703D6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64" w:rsidRDefault="004E1D27" w:rsidP="00B249E4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 konieczność ekonomicznego i pozaekonomicznego uzasadnienia rozstrzygnięć dylematów etycznych, związanych z polityką podatkową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Default="004E1D2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703D6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64" w:rsidRDefault="004E1D27" w:rsidP="00B249E4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Default="004E1D2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703D64" w:rsidRDefault="00703D6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703D64">
        <w:tc>
          <w:tcPr>
            <w:tcW w:w="10008" w:type="dxa"/>
            <w:vAlign w:val="center"/>
          </w:tcPr>
          <w:p w:rsidR="00703D64" w:rsidRDefault="004E1D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703D64">
        <w:tc>
          <w:tcPr>
            <w:tcW w:w="10008" w:type="dxa"/>
            <w:shd w:val="pct10" w:color="auto" w:fill="FFFFFF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703D64">
        <w:tc>
          <w:tcPr>
            <w:tcW w:w="10008" w:type="dxa"/>
          </w:tcPr>
          <w:p w:rsidR="00703D64" w:rsidRDefault="004E1D27" w:rsidP="00B249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Istota i klasyfikacja</w:t>
            </w:r>
            <w:r w:rsidR="00B249E4">
              <w:rPr>
                <w:sz w:val="22"/>
                <w:szCs w:val="22"/>
              </w:rPr>
              <w:t xml:space="preserve"> podatków i opłat samorządowych; Właściwość organów podatkowych; Kompetencje rady gminy;</w:t>
            </w:r>
            <w:r>
              <w:rPr>
                <w:sz w:val="22"/>
                <w:szCs w:val="22"/>
              </w:rPr>
              <w:t xml:space="preserve"> Zakres prz</w:t>
            </w:r>
            <w:r w:rsidR="00B249E4">
              <w:rPr>
                <w:sz w:val="22"/>
                <w:szCs w:val="22"/>
              </w:rPr>
              <w:t>edmiotowy i podmiotowy podatków; Podstawa opodatkowania;</w:t>
            </w:r>
            <w:r>
              <w:rPr>
                <w:sz w:val="22"/>
                <w:szCs w:val="22"/>
              </w:rPr>
              <w:t xml:space="preserve"> Obowiązki ciążące na podatnikach</w:t>
            </w:r>
            <w:r w:rsidR="00B249E4">
              <w:rPr>
                <w:sz w:val="22"/>
                <w:szCs w:val="22"/>
              </w:rPr>
              <w:t xml:space="preserve"> podatków i opłat samorządowych;</w:t>
            </w:r>
            <w:r>
              <w:rPr>
                <w:sz w:val="22"/>
                <w:szCs w:val="22"/>
              </w:rPr>
              <w:t xml:space="preserve"> Powstanie i wy</w:t>
            </w:r>
            <w:r w:rsidR="00B249E4">
              <w:rPr>
                <w:sz w:val="22"/>
                <w:szCs w:val="22"/>
              </w:rPr>
              <w:t>gaśnięcie obowiązku podatkowego; Wyłączenia podmiotowe; Ulgi podatkowe;</w:t>
            </w:r>
            <w:r>
              <w:rPr>
                <w:sz w:val="22"/>
                <w:szCs w:val="22"/>
              </w:rPr>
              <w:t xml:space="preserve"> Podate</w:t>
            </w:r>
            <w:r w:rsidR="00B249E4">
              <w:rPr>
                <w:sz w:val="22"/>
                <w:szCs w:val="22"/>
              </w:rPr>
              <w:t>k od czynności cywilno-prawnych;</w:t>
            </w:r>
            <w:r>
              <w:rPr>
                <w:sz w:val="22"/>
                <w:szCs w:val="22"/>
              </w:rPr>
              <w:t xml:space="preserve"> Podate</w:t>
            </w:r>
            <w:r w:rsidR="00B249E4">
              <w:rPr>
                <w:sz w:val="22"/>
                <w:szCs w:val="22"/>
              </w:rPr>
              <w:t>k od spadków i darowizn; Podatek od nieruchomości;</w:t>
            </w:r>
            <w:r>
              <w:rPr>
                <w:sz w:val="22"/>
                <w:szCs w:val="22"/>
              </w:rPr>
              <w:t xml:space="preserve"> Podatek rolny</w:t>
            </w:r>
            <w:r w:rsidR="00B249E4">
              <w:rPr>
                <w:sz w:val="22"/>
                <w:szCs w:val="22"/>
              </w:rPr>
              <w:t>; Podatek leśny;</w:t>
            </w:r>
            <w:r>
              <w:rPr>
                <w:sz w:val="22"/>
                <w:szCs w:val="22"/>
              </w:rPr>
              <w:t xml:space="preserve"> Przedmiot opodatkowania i obowiązek podatkowy w po</w:t>
            </w:r>
            <w:r w:rsidR="00B249E4">
              <w:rPr>
                <w:sz w:val="22"/>
                <w:szCs w:val="22"/>
              </w:rPr>
              <w:t>datku od środków transportowych;</w:t>
            </w:r>
            <w:r>
              <w:rPr>
                <w:sz w:val="22"/>
                <w:szCs w:val="22"/>
              </w:rPr>
              <w:t xml:space="preserve"> Charakterystyka opłat lokalnych i ich znaczenie w dział</w:t>
            </w:r>
            <w:r w:rsidR="00B249E4">
              <w:rPr>
                <w:sz w:val="22"/>
                <w:szCs w:val="22"/>
              </w:rPr>
              <w:t>alności jednostek samorządowych;</w:t>
            </w:r>
            <w:r>
              <w:rPr>
                <w:sz w:val="22"/>
                <w:szCs w:val="22"/>
              </w:rPr>
              <w:t xml:space="preserve"> Opła</w:t>
            </w:r>
            <w:r w:rsidR="00B249E4">
              <w:rPr>
                <w:sz w:val="22"/>
                <w:szCs w:val="22"/>
              </w:rPr>
              <w:t>ta targowa;</w:t>
            </w:r>
            <w:r>
              <w:rPr>
                <w:sz w:val="22"/>
                <w:szCs w:val="22"/>
              </w:rPr>
              <w:t xml:space="preserve"> </w:t>
            </w:r>
            <w:r w:rsidR="00B249E4">
              <w:rPr>
                <w:sz w:val="22"/>
                <w:szCs w:val="22"/>
              </w:rPr>
              <w:t>Opłata miejscowa i uzdrowiskowa; Opłata administracyjna;</w:t>
            </w:r>
            <w:r>
              <w:rPr>
                <w:sz w:val="22"/>
                <w:szCs w:val="22"/>
              </w:rPr>
              <w:t xml:space="preserve"> Tryb oraz formy poboru podatków i opłat.</w:t>
            </w:r>
          </w:p>
        </w:tc>
      </w:tr>
      <w:tr w:rsidR="00703D64">
        <w:tc>
          <w:tcPr>
            <w:tcW w:w="10008" w:type="dxa"/>
            <w:shd w:val="pct10" w:color="auto" w:fill="FFFFFF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703D64">
        <w:tc>
          <w:tcPr>
            <w:tcW w:w="10008" w:type="dxa"/>
          </w:tcPr>
          <w:p w:rsidR="00703D64" w:rsidRDefault="004E1D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Ustalanie prze</w:t>
            </w:r>
            <w:r w:rsidR="00B249E4">
              <w:rPr>
                <w:sz w:val="22"/>
                <w:szCs w:val="22"/>
              </w:rPr>
              <w:t>dmiotu i podmiotu opodatkowania;</w:t>
            </w:r>
            <w:r>
              <w:rPr>
                <w:sz w:val="22"/>
                <w:szCs w:val="22"/>
              </w:rPr>
              <w:t xml:space="preserve"> Powstanie i wygaśnięcie obowiązku p</w:t>
            </w:r>
            <w:r w:rsidR="00B249E4">
              <w:rPr>
                <w:sz w:val="22"/>
                <w:szCs w:val="22"/>
              </w:rPr>
              <w:t>odatkowego - studium przypadków;</w:t>
            </w:r>
            <w:r>
              <w:rPr>
                <w:sz w:val="22"/>
                <w:szCs w:val="22"/>
              </w:rPr>
              <w:t xml:space="preserve"> Wyłączenia podmiotowe i ulgi</w:t>
            </w:r>
            <w:r w:rsidR="00B249E4">
              <w:rPr>
                <w:sz w:val="22"/>
                <w:szCs w:val="22"/>
              </w:rPr>
              <w:t xml:space="preserve"> podatkowe - studium przypadków;</w:t>
            </w:r>
            <w:r>
              <w:rPr>
                <w:sz w:val="22"/>
                <w:szCs w:val="22"/>
              </w:rPr>
              <w:t xml:space="preserve"> Kalkulacja zobowiązania podatkowego z tyt. podatku: od nieruchomości, rolnego, leś</w:t>
            </w:r>
            <w:r w:rsidR="00B249E4">
              <w:rPr>
                <w:sz w:val="22"/>
                <w:szCs w:val="22"/>
              </w:rPr>
              <w:t>nego, od środków transportowych;</w:t>
            </w:r>
            <w:r>
              <w:rPr>
                <w:sz w:val="22"/>
                <w:szCs w:val="22"/>
              </w:rPr>
              <w:t xml:space="preserve"> Kalkulacja opłaty: targ</w:t>
            </w:r>
            <w:r w:rsidR="00B249E4">
              <w:rPr>
                <w:sz w:val="22"/>
                <w:szCs w:val="22"/>
              </w:rPr>
              <w:t>owej, miejscowej, uzdrowiskowej;</w:t>
            </w:r>
            <w:r>
              <w:rPr>
                <w:sz w:val="22"/>
                <w:szCs w:val="22"/>
              </w:rPr>
              <w:t xml:space="preserve"> Ustalanie wysokości opłaty administracyjnej od różnych czynności administracyjnych.</w:t>
            </w:r>
          </w:p>
        </w:tc>
      </w:tr>
      <w:tr w:rsidR="00703D64">
        <w:tc>
          <w:tcPr>
            <w:tcW w:w="10008" w:type="dxa"/>
            <w:shd w:val="pct10" w:color="auto" w:fill="FFFFFF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703D64">
        <w:tc>
          <w:tcPr>
            <w:tcW w:w="10008" w:type="dxa"/>
          </w:tcPr>
          <w:p w:rsidR="00703D64" w:rsidRDefault="00703D64">
            <w:pPr>
              <w:jc w:val="both"/>
              <w:rPr>
                <w:sz w:val="22"/>
                <w:szCs w:val="22"/>
              </w:rPr>
            </w:pPr>
          </w:p>
        </w:tc>
      </w:tr>
      <w:tr w:rsidR="00703D64">
        <w:tc>
          <w:tcPr>
            <w:tcW w:w="10008" w:type="dxa"/>
            <w:shd w:val="pct10" w:color="auto" w:fill="FFFFFF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703D64">
        <w:tc>
          <w:tcPr>
            <w:tcW w:w="10008" w:type="dxa"/>
          </w:tcPr>
          <w:p w:rsidR="00703D64" w:rsidRDefault="00703D64">
            <w:pPr>
              <w:jc w:val="both"/>
              <w:rPr>
                <w:sz w:val="22"/>
                <w:szCs w:val="22"/>
              </w:rPr>
            </w:pPr>
          </w:p>
        </w:tc>
      </w:tr>
      <w:tr w:rsidR="00703D64">
        <w:tc>
          <w:tcPr>
            <w:tcW w:w="10008" w:type="dxa"/>
            <w:shd w:val="clear" w:color="auto" w:fill="D9D9D9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703D64">
        <w:tc>
          <w:tcPr>
            <w:tcW w:w="10008" w:type="dxa"/>
          </w:tcPr>
          <w:p w:rsidR="00703D64" w:rsidRDefault="00703D64">
            <w:pPr>
              <w:jc w:val="both"/>
              <w:rPr>
                <w:sz w:val="22"/>
                <w:szCs w:val="22"/>
              </w:rPr>
            </w:pPr>
          </w:p>
        </w:tc>
      </w:tr>
      <w:tr w:rsidR="00703D64">
        <w:tc>
          <w:tcPr>
            <w:tcW w:w="10008" w:type="dxa"/>
            <w:shd w:val="clear" w:color="auto" w:fill="D9D9D9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</w:p>
        </w:tc>
      </w:tr>
      <w:tr w:rsidR="00703D64">
        <w:tc>
          <w:tcPr>
            <w:tcW w:w="10008" w:type="dxa"/>
          </w:tcPr>
          <w:p w:rsidR="00703D64" w:rsidRDefault="00703D64">
            <w:pPr>
              <w:jc w:val="both"/>
              <w:rPr>
                <w:sz w:val="22"/>
                <w:szCs w:val="22"/>
              </w:rPr>
            </w:pPr>
          </w:p>
        </w:tc>
      </w:tr>
    </w:tbl>
    <w:p w:rsidR="00703D64" w:rsidRDefault="00703D6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703D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3D64" w:rsidRDefault="004E1D27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Etel</w:t>
            </w:r>
            <w:proofErr w:type="spellEnd"/>
            <w:r>
              <w:rPr>
                <w:sz w:val="22"/>
                <w:szCs w:val="22"/>
              </w:rPr>
              <w:t xml:space="preserve"> L., </w:t>
            </w:r>
            <w:proofErr w:type="spellStart"/>
            <w:r>
              <w:rPr>
                <w:sz w:val="22"/>
                <w:szCs w:val="22"/>
              </w:rPr>
              <w:t>Presnarowicz</w:t>
            </w:r>
            <w:proofErr w:type="spellEnd"/>
            <w:r>
              <w:rPr>
                <w:sz w:val="22"/>
                <w:szCs w:val="22"/>
              </w:rPr>
              <w:t xml:space="preserve"> S., Podatki i opłaty samorządowe Komentarz, Dom Wydawniczy ABC, 2003.</w:t>
            </w:r>
          </w:p>
          <w:p w:rsidR="00703D64" w:rsidRDefault="004E1D27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Podatki i opłaty lokalne. 601 pytań i odpowiedzi, prac. </w:t>
            </w:r>
            <w:proofErr w:type="spellStart"/>
            <w:r>
              <w:rPr>
                <w:sz w:val="22"/>
                <w:szCs w:val="22"/>
              </w:rPr>
              <w:t>zbior</w:t>
            </w:r>
            <w:proofErr w:type="spellEnd"/>
            <w:r>
              <w:rPr>
                <w:sz w:val="22"/>
                <w:szCs w:val="22"/>
              </w:rPr>
              <w:t>., Wolters Kluwer SA, 2012.</w:t>
            </w:r>
          </w:p>
        </w:tc>
      </w:tr>
      <w:tr w:rsidR="00703D64">
        <w:tc>
          <w:tcPr>
            <w:tcW w:w="2660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03D64" w:rsidRDefault="004E1D2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Etel</w:t>
            </w:r>
            <w:proofErr w:type="spellEnd"/>
            <w:r>
              <w:rPr>
                <w:sz w:val="22"/>
                <w:szCs w:val="22"/>
              </w:rPr>
              <w:t xml:space="preserve"> L., Podatek rolny. Podatek leśny. Komentarz, Wolters Kluwer SA, 2012.</w:t>
            </w:r>
          </w:p>
          <w:p w:rsidR="00703D64" w:rsidRDefault="004E1D2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Etel</w:t>
            </w:r>
            <w:proofErr w:type="spellEnd"/>
            <w:r>
              <w:rPr>
                <w:sz w:val="22"/>
                <w:szCs w:val="22"/>
              </w:rPr>
              <w:t xml:space="preserve"> L., Podatek od nieruchomości. Komentarz, Wolters Kluwer SA, 2013.</w:t>
            </w:r>
          </w:p>
          <w:p w:rsidR="00703D64" w:rsidRDefault="004E1D2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Dowgier</w:t>
            </w:r>
            <w:proofErr w:type="spellEnd"/>
            <w:r>
              <w:rPr>
                <w:sz w:val="22"/>
                <w:szCs w:val="22"/>
              </w:rPr>
              <w:t xml:space="preserve"> R., </w:t>
            </w:r>
            <w:proofErr w:type="spellStart"/>
            <w:r>
              <w:rPr>
                <w:sz w:val="22"/>
                <w:szCs w:val="22"/>
              </w:rPr>
              <w:t>Etel</w:t>
            </w:r>
            <w:proofErr w:type="spellEnd"/>
            <w:r>
              <w:rPr>
                <w:sz w:val="22"/>
                <w:szCs w:val="22"/>
              </w:rPr>
              <w:t xml:space="preserve"> L., </w:t>
            </w:r>
            <w:proofErr w:type="spellStart"/>
            <w:r>
              <w:rPr>
                <w:sz w:val="22"/>
                <w:szCs w:val="22"/>
              </w:rPr>
              <w:t>Pahl</w:t>
            </w:r>
            <w:proofErr w:type="spellEnd"/>
            <w:r>
              <w:rPr>
                <w:sz w:val="22"/>
                <w:szCs w:val="22"/>
              </w:rPr>
              <w:t xml:space="preserve"> B., Popławski M., Leksykon podatków i opłat lokalnych. 517 pytań i odpowiedzi, Warszawa 2010.</w:t>
            </w:r>
          </w:p>
        </w:tc>
      </w:tr>
      <w:tr w:rsidR="00703D64">
        <w:tc>
          <w:tcPr>
            <w:tcW w:w="2660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03D64" w:rsidRDefault="004E1D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tekstów z dyskusją, analiza przypadków, praca w grupach, rozwiązywanie zadań.</w:t>
            </w:r>
          </w:p>
        </w:tc>
      </w:tr>
    </w:tbl>
    <w:p w:rsidR="00703D64" w:rsidRDefault="00703D64">
      <w:pPr>
        <w:rPr>
          <w:sz w:val="22"/>
          <w:szCs w:val="22"/>
        </w:rPr>
      </w:pPr>
    </w:p>
    <w:p w:rsidR="00703D64" w:rsidRDefault="00703D64">
      <w:pPr>
        <w:rPr>
          <w:sz w:val="22"/>
          <w:szCs w:val="22"/>
        </w:rPr>
      </w:pPr>
    </w:p>
    <w:tbl>
      <w:tblPr>
        <w:tblW w:w="100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9"/>
        <w:gridCol w:w="5548"/>
        <w:gridCol w:w="1800"/>
      </w:tblGrid>
      <w:tr w:rsidR="00703D64">
        <w:tc>
          <w:tcPr>
            <w:tcW w:w="820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703D64">
        <w:tc>
          <w:tcPr>
            <w:tcW w:w="820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Default="004E1D27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Wykład: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Default="004E1D27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01, 02</w:t>
            </w:r>
          </w:p>
        </w:tc>
      </w:tr>
      <w:tr w:rsidR="00703D64">
        <w:tc>
          <w:tcPr>
            <w:tcW w:w="8207" w:type="dxa"/>
            <w:gridSpan w:val="2"/>
            <w:vAlign w:val="center"/>
          </w:tcPr>
          <w:p w:rsidR="00703D64" w:rsidRDefault="004E1D27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Ćwiczenia: Kolokwium zaliczeniowe zawierające zadania obliczeniowe do samodzielnego rozwiązania, bieżąca ocena analizy przypadków (praca w grupach).</w:t>
            </w:r>
          </w:p>
        </w:tc>
        <w:tc>
          <w:tcPr>
            <w:tcW w:w="1800" w:type="dxa"/>
            <w:vAlign w:val="center"/>
          </w:tcPr>
          <w:p w:rsidR="00703D64" w:rsidRDefault="004E1D27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03, 04, 05, 06</w:t>
            </w:r>
          </w:p>
        </w:tc>
      </w:tr>
      <w:tr w:rsidR="00703D64">
        <w:tc>
          <w:tcPr>
            <w:tcW w:w="2659" w:type="dxa"/>
            <w:tcBorders>
              <w:bottom w:val="single" w:sz="12" w:space="0" w:color="auto"/>
            </w:tcBorders>
          </w:tcPr>
          <w:p w:rsidR="00703D64" w:rsidRDefault="004E1D2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03D64" w:rsidRDefault="004E1D27" w:rsidP="00B249E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0,3. Analiza przypadków (praca zespołowa) - waga 0,2</w:t>
            </w:r>
            <w:r w:rsidR="00B249E4">
              <w:rPr>
                <w:sz w:val="22"/>
                <w:szCs w:val="22"/>
              </w:rPr>
              <w:t>.</w:t>
            </w:r>
          </w:p>
        </w:tc>
      </w:tr>
    </w:tbl>
    <w:p w:rsidR="00703D64" w:rsidRDefault="00703D64">
      <w:pPr>
        <w:rPr>
          <w:sz w:val="22"/>
          <w:szCs w:val="22"/>
        </w:rPr>
      </w:pPr>
    </w:p>
    <w:tbl>
      <w:tblPr>
        <w:tblW w:w="10005" w:type="dxa"/>
        <w:tblInd w:w="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15"/>
        <w:gridCol w:w="2126"/>
        <w:gridCol w:w="2864"/>
      </w:tblGrid>
      <w:tr w:rsidR="00703D64">
        <w:tc>
          <w:tcPr>
            <w:tcW w:w="10005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03D64" w:rsidRDefault="00703D64">
            <w:pPr>
              <w:rPr>
                <w:sz w:val="22"/>
                <w:szCs w:val="22"/>
              </w:rPr>
            </w:pPr>
          </w:p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703D64" w:rsidRDefault="00703D64">
            <w:pPr>
              <w:rPr>
                <w:color w:val="FF0000"/>
                <w:sz w:val="22"/>
                <w:szCs w:val="22"/>
              </w:rPr>
            </w:pPr>
          </w:p>
        </w:tc>
      </w:tr>
      <w:tr w:rsidR="00703D64">
        <w:trPr>
          <w:trHeight w:val="263"/>
        </w:trPr>
        <w:tc>
          <w:tcPr>
            <w:tcW w:w="5015" w:type="dxa"/>
            <w:vMerge w:val="restart"/>
            <w:tcBorders>
              <w:top w:val="single" w:sz="4" w:space="0" w:color="auto"/>
            </w:tcBorders>
            <w:vAlign w:val="center"/>
          </w:tcPr>
          <w:p w:rsidR="00703D64" w:rsidRDefault="00703D64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64" w:rsidRDefault="004E1D27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  <w:vAlign w:val="center"/>
          </w:tcPr>
          <w:p w:rsidR="00703D64" w:rsidRDefault="004E1D27">
            <w:pPr>
              <w:pStyle w:val="Bezodstpw1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03D64">
        <w:trPr>
          <w:trHeight w:val="262"/>
        </w:trPr>
        <w:tc>
          <w:tcPr>
            <w:tcW w:w="5015" w:type="dxa"/>
            <w:vMerge/>
            <w:vAlign w:val="center"/>
          </w:tcPr>
          <w:p w:rsidR="00703D64" w:rsidRDefault="00703D64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03D64" w:rsidRDefault="004E1D27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64" w:type="dxa"/>
            <w:vAlign w:val="center"/>
          </w:tcPr>
          <w:p w:rsidR="00703D64" w:rsidRDefault="004E1D27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703D64">
        <w:trPr>
          <w:trHeight w:val="262"/>
        </w:trPr>
        <w:tc>
          <w:tcPr>
            <w:tcW w:w="5015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64" w:type="dxa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</w:tr>
      <w:tr w:rsidR="00703D64">
        <w:trPr>
          <w:trHeight w:val="262"/>
        </w:trPr>
        <w:tc>
          <w:tcPr>
            <w:tcW w:w="5015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64" w:type="dxa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</w:tr>
      <w:tr w:rsidR="00703D64">
        <w:trPr>
          <w:trHeight w:val="262"/>
        </w:trPr>
        <w:tc>
          <w:tcPr>
            <w:tcW w:w="5015" w:type="dxa"/>
          </w:tcPr>
          <w:p w:rsidR="00703D64" w:rsidRDefault="004E1D27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64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703D64">
        <w:trPr>
          <w:trHeight w:val="262"/>
        </w:trPr>
        <w:tc>
          <w:tcPr>
            <w:tcW w:w="5015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64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703D64">
        <w:trPr>
          <w:trHeight w:val="262"/>
        </w:trPr>
        <w:tc>
          <w:tcPr>
            <w:tcW w:w="5015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</w:tr>
      <w:tr w:rsidR="00703D64">
        <w:trPr>
          <w:trHeight w:val="262"/>
        </w:trPr>
        <w:tc>
          <w:tcPr>
            <w:tcW w:w="5015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64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703D64">
        <w:trPr>
          <w:trHeight w:val="262"/>
        </w:trPr>
        <w:tc>
          <w:tcPr>
            <w:tcW w:w="5015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64" w:type="dxa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</w:tr>
      <w:tr w:rsidR="00703D64">
        <w:trPr>
          <w:trHeight w:val="262"/>
        </w:trPr>
        <w:tc>
          <w:tcPr>
            <w:tcW w:w="5015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703D64" w:rsidRDefault="00703D64">
            <w:pPr>
              <w:jc w:val="center"/>
              <w:rPr>
                <w:sz w:val="22"/>
                <w:szCs w:val="22"/>
              </w:rPr>
            </w:pPr>
          </w:p>
        </w:tc>
      </w:tr>
      <w:tr w:rsidR="00703D64">
        <w:trPr>
          <w:trHeight w:val="262"/>
        </w:trPr>
        <w:tc>
          <w:tcPr>
            <w:tcW w:w="5015" w:type="dxa"/>
          </w:tcPr>
          <w:p w:rsidR="00703D64" w:rsidRDefault="004E1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64" w:type="dxa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703D64">
        <w:trPr>
          <w:trHeight w:val="236"/>
        </w:trPr>
        <w:tc>
          <w:tcPr>
            <w:tcW w:w="5015" w:type="dxa"/>
            <w:shd w:val="clear" w:color="auto" w:fill="C0C0C0"/>
          </w:tcPr>
          <w:p w:rsidR="00703D64" w:rsidRDefault="004E1D2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90" w:type="dxa"/>
            <w:gridSpan w:val="2"/>
            <w:shd w:val="clear" w:color="auto" w:fill="C0C0C0"/>
            <w:vAlign w:val="center"/>
          </w:tcPr>
          <w:p w:rsidR="00703D64" w:rsidRDefault="004E1D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03D64">
        <w:trPr>
          <w:trHeight w:val="236"/>
        </w:trPr>
        <w:tc>
          <w:tcPr>
            <w:tcW w:w="5015" w:type="dxa"/>
            <w:shd w:val="clear" w:color="auto" w:fill="C0C0C0"/>
          </w:tcPr>
          <w:p w:rsidR="00703D64" w:rsidRDefault="004E1D2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90" w:type="dxa"/>
            <w:gridSpan w:val="2"/>
            <w:shd w:val="clear" w:color="auto" w:fill="C0C0C0"/>
            <w:vAlign w:val="center"/>
          </w:tcPr>
          <w:p w:rsidR="00703D64" w:rsidRDefault="004E1D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(Ekonomia i finanse)</w:t>
            </w:r>
          </w:p>
          <w:p w:rsidR="00703D64" w:rsidRDefault="004E1D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(Nauki o polityce i administracji)</w:t>
            </w:r>
          </w:p>
        </w:tc>
      </w:tr>
      <w:tr w:rsidR="00703D64">
        <w:trPr>
          <w:trHeight w:val="262"/>
        </w:trPr>
        <w:tc>
          <w:tcPr>
            <w:tcW w:w="5015" w:type="dxa"/>
            <w:shd w:val="clear" w:color="auto" w:fill="C0C0C0"/>
          </w:tcPr>
          <w:p w:rsidR="00703D64" w:rsidRDefault="004E1D27">
            <w:pPr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90" w:type="dxa"/>
            <w:gridSpan w:val="2"/>
            <w:shd w:val="clear" w:color="auto" w:fill="C0C0C0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703D64">
        <w:trPr>
          <w:trHeight w:val="262"/>
        </w:trPr>
        <w:tc>
          <w:tcPr>
            <w:tcW w:w="5015" w:type="dxa"/>
            <w:shd w:val="clear" w:color="auto" w:fill="C0C0C0"/>
          </w:tcPr>
          <w:p w:rsidR="00703D64" w:rsidRDefault="004E1D2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90" w:type="dxa"/>
            <w:gridSpan w:val="2"/>
            <w:shd w:val="clear" w:color="auto" w:fill="C0C0C0"/>
            <w:vAlign w:val="center"/>
          </w:tcPr>
          <w:p w:rsidR="00703D64" w:rsidRDefault="004E1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703D64" w:rsidRDefault="00703D64">
      <w:pPr>
        <w:rPr>
          <w:sz w:val="22"/>
          <w:szCs w:val="22"/>
        </w:rPr>
      </w:pPr>
    </w:p>
    <w:sectPr w:rsidR="00703D64" w:rsidSect="00930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35C66"/>
    <w:multiLevelType w:val="singleLevel"/>
    <w:tmpl w:val="5D135C66"/>
    <w:lvl w:ilvl="0">
      <w:start w:val="1"/>
      <w:numFmt w:val="decimal"/>
      <w:suff w:val="space"/>
      <w:lvlText w:val="%1."/>
      <w:lvlJc w:val="left"/>
    </w:lvl>
  </w:abstractNum>
  <w:abstractNum w:abstractNumId="2">
    <w:nsid w:val="5D135C91"/>
    <w:multiLevelType w:val="singleLevel"/>
    <w:tmpl w:val="5D135C9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noPunctuationKerning/>
  <w:characterSpacingControl w:val="doNotCompress"/>
  <w:compat>
    <w:doNotExpandShiftReturn/>
    <w:useFELayout/>
  </w:compat>
  <w:rsids>
    <w:rsidRoot w:val="00FC3315"/>
    <w:rsid w:val="000C760A"/>
    <w:rsid w:val="00100D13"/>
    <w:rsid w:val="001576BD"/>
    <w:rsid w:val="00183B8B"/>
    <w:rsid w:val="001D416F"/>
    <w:rsid w:val="002A22B4"/>
    <w:rsid w:val="00324DF5"/>
    <w:rsid w:val="00335D56"/>
    <w:rsid w:val="00410D8C"/>
    <w:rsid w:val="00416716"/>
    <w:rsid w:val="004474A9"/>
    <w:rsid w:val="00496780"/>
    <w:rsid w:val="004E1D27"/>
    <w:rsid w:val="0050790E"/>
    <w:rsid w:val="00571344"/>
    <w:rsid w:val="00582141"/>
    <w:rsid w:val="005A5B46"/>
    <w:rsid w:val="005D3513"/>
    <w:rsid w:val="00622034"/>
    <w:rsid w:val="00635B40"/>
    <w:rsid w:val="006B4579"/>
    <w:rsid w:val="00703D64"/>
    <w:rsid w:val="007A28E9"/>
    <w:rsid w:val="00801B19"/>
    <w:rsid w:val="008020D5"/>
    <w:rsid w:val="008322AC"/>
    <w:rsid w:val="00865722"/>
    <w:rsid w:val="008B224B"/>
    <w:rsid w:val="008C358C"/>
    <w:rsid w:val="009074ED"/>
    <w:rsid w:val="00930FD3"/>
    <w:rsid w:val="00951206"/>
    <w:rsid w:val="009E7B8A"/>
    <w:rsid w:val="009F5760"/>
    <w:rsid w:val="00A0703A"/>
    <w:rsid w:val="00B249E4"/>
    <w:rsid w:val="00BF3EFC"/>
    <w:rsid w:val="00C60C15"/>
    <w:rsid w:val="00C81A9F"/>
    <w:rsid w:val="00C83126"/>
    <w:rsid w:val="00C931A9"/>
    <w:rsid w:val="00D240F4"/>
    <w:rsid w:val="00D466D8"/>
    <w:rsid w:val="00D6037F"/>
    <w:rsid w:val="00E32F86"/>
    <w:rsid w:val="00E40B0C"/>
    <w:rsid w:val="00EA2C4A"/>
    <w:rsid w:val="00EE2410"/>
    <w:rsid w:val="00EF1FB9"/>
    <w:rsid w:val="00F14AB6"/>
    <w:rsid w:val="00F22F4E"/>
    <w:rsid w:val="00FA2E58"/>
    <w:rsid w:val="00FC3315"/>
    <w:rsid w:val="00FD7A2E"/>
    <w:rsid w:val="39616230"/>
    <w:rsid w:val="43432669"/>
    <w:rsid w:val="7FA45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FD3"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930FD3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930FD3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0FD3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30FD3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30FD3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30FD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30FD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30FD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30FD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rsid w:val="00930FD3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930FD3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0FD3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930FD3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930FD3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930FD3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930FD3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30FD3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930FD3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30FD3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930FD3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930FD3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30FD3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30FD3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30FD3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930FD3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30FD3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930FD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930FD3"/>
  </w:style>
  <w:style w:type="paragraph" w:customStyle="1" w:styleId="Akapitzlist1">
    <w:name w:val="Akapit z listą1"/>
    <w:basedOn w:val="Normalny"/>
    <w:uiPriority w:val="34"/>
    <w:qFormat/>
    <w:rsid w:val="00930FD3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930FD3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930FD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930FD3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930FD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930FD3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930FD3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930FD3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930FD3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930FD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30FD3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930FD3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930FD3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70C332-FFC2-4ABB-8ADA-00539369F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726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2019-06-27T07:15:00Z</dcterms:created>
  <dcterms:modified xsi:type="dcterms:W3CDTF">2019-07-05T10:31:00Z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